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B" w:rsidRDefault="00FA0125" w:rsidP="00156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Combined Long-</w:t>
      </w:r>
      <w:r w:rsidR="00156CEB" w:rsidRPr="009A4260">
        <w:rPr>
          <w:b/>
          <w:sz w:val="32"/>
          <w:szCs w:val="32"/>
        </w:rPr>
        <w:t>Term Plan</w:t>
      </w:r>
      <w:r w:rsidR="00156CEB">
        <w:rPr>
          <w:b/>
          <w:sz w:val="32"/>
          <w:szCs w:val="32"/>
        </w:rPr>
        <w:t xml:space="preserve"> (Yearly Scheme)</w:t>
      </w:r>
      <w:r w:rsidR="00156CEB" w:rsidRPr="009A4260">
        <w:rPr>
          <w:b/>
          <w:sz w:val="32"/>
          <w:szCs w:val="32"/>
        </w:rPr>
        <w:t xml:space="preserve"> for </w:t>
      </w:r>
      <w:r w:rsidRPr="00FA0125">
        <w:rPr>
          <w:b/>
          <w:i/>
          <w:sz w:val="32"/>
          <w:szCs w:val="32"/>
        </w:rPr>
        <w:t>Operation Maths</w:t>
      </w:r>
      <w:r w:rsidR="00156CEB">
        <w:rPr>
          <w:b/>
          <w:sz w:val="32"/>
          <w:szCs w:val="32"/>
        </w:rPr>
        <w:t>:</w:t>
      </w:r>
    </w:p>
    <w:p w:rsidR="00156CEB" w:rsidRPr="009A4260" w:rsidRDefault="00156CEB" w:rsidP="00FA0125">
      <w:pPr>
        <w:spacing w:after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First and Second Class</w:t>
      </w:r>
      <w:r w:rsidRPr="009A4260">
        <w:rPr>
          <w:b/>
          <w:sz w:val="32"/>
          <w:szCs w:val="32"/>
        </w:rPr>
        <w:t xml:space="preserve"> (multiclass</w:t>
      </w:r>
      <w:r w:rsidRPr="009A4260">
        <w:rPr>
          <w:b/>
          <w:sz w:val="28"/>
          <w:szCs w:val="28"/>
        </w:rPr>
        <w:t>)</w:t>
      </w:r>
    </w:p>
    <w:p w:rsidR="00156CEB" w:rsidRPr="00FA0125" w:rsidRDefault="00156CEB" w:rsidP="00FA0125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 xml:space="preserve">This suggested plan largely follows that of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i/>
          <w:sz w:val="26"/>
          <w:szCs w:val="26"/>
        </w:rPr>
        <w:t xml:space="preserve"> 1</w:t>
      </w:r>
      <w:r w:rsidRPr="00FA0125">
        <w:rPr>
          <w:sz w:val="26"/>
          <w:szCs w:val="26"/>
        </w:rPr>
        <w:t xml:space="preserve"> and then assigns the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sz w:val="26"/>
          <w:szCs w:val="26"/>
        </w:rPr>
        <w:t xml:space="preserve"> </w:t>
      </w:r>
      <w:r w:rsidRPr="00FA0125">
        <w:rPr>
          <w:i/>
          <w:sz w:val="26"/>
          <w:szCs w:val="26"/>
        </w:rPr>
        <w:t>2</w:t>
      </w:r>
      <w:r w:rsidRPr="00FA0125">
        <w:rPr>
          <w:sz w:val="26"/>
          <w:szCs w:val="26"/>
        </w:rPr>
        <w:t xml:space="preserve"> topics to coincide</w:t>
      </w:r>
      <w:r w:rsidR="006A7808">
        <w:rPr>
          <w:sz w:val="26"/>
          <w:szCs w:val="26"/>
        </w:rPr>
        <w:t>.</w:t>
      </w:r>
      <w:r w:rsidRPr="00FA0125">
        <w:rPr>
          <w:sz w:val="26"/>
          <w:szCs w:val="26"/>
        </w:rPr>
        <w:t>* Teachers are encouraged to re-order the topics, as necessary, to suit their own specific situations.</w:t>
      </w:r>
    </w:p>
    <w:p w:rsidR="00156CEB" w:rsidRPr="00FA0125" w:rsidRDefault="00FA0125" w:rsidP="00FA0125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i/>
          <w:sz w:val="26"/>
          <w:szCs w:val="26"/>
        </w:rPr>
        <w:t>At Home</w:t>
      </w:r>
      <w:r w:rsidR="006A7808">
        <w:rPr>
          <w:sz w:val="26"/>
          <w:szCs w:val="26"/>
        </w:rPr>
        <w:t xml:space="preserve"> books: f</w:t>
      </w:r>
      <w:r w:rsidR="00156CEB" w:rsidRPr="00FA0125">
        <w:rPr>
          <w:sz w:val="26"/>
          <w:szCs w:val="26"/>
        </w:rPr>
        <w:t xml:space="preserve">or details on the corresponding pages in the </w:t>
      </w:r>
      <w:r w:rsidRPr="00FA0125">
        <w:rPr>
          <w:i/>
          <w:sz w:val="26"/>
          <w:szCs w:val="26"/>
        </w:rPr>
        <w:t>At Home</w:t>
      </w:r>
      <w:r w:rsidR="00156CEB" w:rsidRPr="00FA0125">
        <w:rPr>
          <w:sz w:val="26"/>
          <w:szCs w:val="26"/>
        </w:rPr>
        <w:t xml:space="preserve"> books, please see the yearly schemes in the </w:t>
      </w:r>
      <w:r w:rsidRPr="00FA0125">
        <w:rPr>
          <w:i/>
          <w:sz w:val="26"/>
          <w:szCs w:val="26"/>
        </w:rPr>
        <w:t>Operation Maths</w:t>
      </w:r>
      <w:r w:rsidR="00156CEB" w:rsidRPr="00FA0125">
        <w:rPr>
          <w:sz w:val="26"/>
          <w:szCs w:val="26"/>
        </w:rPr>
        <w:t xml:space="preserve"> </w:t>
      </w:r>
      <w:r w:rsidR="00156CEB" w:rsidRPr="006A7808">
        <w:rPr>
          <w:i/>
          <w:sz w:val="26"/>
          <w:szCs w:val="26"/>
        </w:rPr>
        <w:t>1</w:t>
      </w:r>
      <w:r w:rsidR="00156CEB" w:rsidRPr="00FA0125">
        <w:rPr>
          <w:sz w:val="26"/>
          <w:szCs w:val="26"/>
        </w:rPr>
        <w:t xml:space="preserve"> and </w:t>
      </w:r>
      <w:r w:rsidR="00156CEB" w:rsidRPr="006A7808">
        <w:rPr>
          <w:i/>
          <w:sz w:val="26"/>
          <w:szCs w:val="26"/>
        </w:rPr>
        <w:t>2</w:t>
      </w:r>
      <w:r w:rsidR="00156CEB" w:rsidRPr="00FA0125">
        <w:rPr>
          <w:sz w:val="26"/>
          <w:szCs w:val="26"/>
        </w:rPr>
        <w:t xml:space="preserve"> TRBs (p</w:t>
      </w:r>
      <w:r>
        <w:rPr>
          <w:sz w:val="26"/>
          <w:szCs w:val="26"/>
        </w:rPr>
        <w:t>.</w:t>
      </w:r>
      <w:r w:rsidR="00156CEB" w:rsidRPr="00FA0125">
        <w:rPr>
          <w:sz w:val="26"/>
          <w:szCs w:val="26"/>
        </w:rPr>
        <w:t xml:space="preserve"> 12)</w:t>
      </w:r>
      <w:r>
        <w:rPr>
          <w:sz w:val="26"/>
          <w:szCs w:val="26"/>
        </w:rPr>
        <w:t>.</w:t>
      </w:r>
    </w:p>
    <w:p w:rsidR="00156CEB" w:rsidRPr="00FA0125" w:rsidRDefault="00156CEB" w:rsidP="00FA0125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 xml:space="preserve">The approach to a topic in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sz w:val="26"/>
          <w:szCs w:val="26"/>
        </w:rPr>
        <w:t xml:space="preserve"> </w:t>
      </w:r>
      <w:r w:rsidRPr="00FA0125">
        <w:rPr>
          <w:i/>
          <w:sz w:val="26"/>
          <w:szCs w:val="26"/>
        </w:rPr>
        <w:t>1</w:t>
      </w:r>
      <w:r w:rsidRPr="00FA0125">
        <w:rPr>
          <w:sz w:val="26"/>
          <w:szCs w:val="26"/>
        </w:rPr>
        <w:t xml:space="preserve"> and </w:t>
      </w:r>
      <w:r w:rsidR="00FA0125" w:rsidRPr="00FA0125">
        <w:rPr>
          <w:i/>
          <w:sz w:val="26"/>
          <w:szCs w:val="26"/>
        </w:rPr>
        <w:t>Operation Maths</w:t>
      </w:r>
      <w:r w:rsidR="00FA0125" w:rsidRPr="00FA0125">
        <w:rPr>
          <w:sz w:val="26"/>
          <w:szCs w:val="26"/>
        </w:rPr>
        <w:t xml:space="preserve"> </w:t>
      </w:r>
      <w:r w:rsidRPr="00FA0125">
        <w:rPr>
          <w:i/>
          <w:sz w:val="26"/>
          <w:szCs w:val="26"/>
        </w:rPr>
        <w:t>2</w:t>
      </w:r>
      <w:r w:rsidR="006A7808">
        <w:rPr>
          <w:sz w:val="26"/>
          <w:szCs w:val="26"/>
        </w:rPr>
        <w:t xml:space="preserve"> — warm-</w:t>
      </w:r>
      <w:r w:rsidRPr="00FA0125">
        <w:rPr>
          <w:sz w:val="26"/>
          <w:szCs w:val="26"/>
        </w:rPr>
        <w:t>up/oral, discussion, s</w:t>
      </w:r>
      <w:r w:rsidR="006A7808">
        <w:rPr>
          <w:sz w:val="26"/>
          <w:szCs w:val="26"/>
        </w:rPr>
        <w:t>tations and finally book work —</w:t>
      </w:r>
      <w:r w:rsidRPr="00FA0125">
        <w:rPr>
          <w:sz w:val="26"/>
          <w:szCs w:val="26"/>
        </w:rPr>
        <w:t xml:space="preserve"> is particularly suited to teach</w:t>
      </w:r>
      <w:r w:rsidR="006A7808">
        <w:rPr>
          <w:sz w:val="26"/>
          <w:szCs w:val="26"/>
        </w:rPr>
        <w:t xml:space="preserve">ing in a multiclass situation. </w:t>
      </w:r>
      <w:r w:rsidRPr="00FA0125">
        <w:rPr>
          <w:sz w:val="26"/>
          <w:szCs w:val="26"/>
        </w:rPr>
        <w:t xml:space="preserve">Use the </w:t>
      </w:r>
      <w:r w:rsidR="00FA0125" w:rsidRPr="00FA0125">
        <w:rPr>
          <w:i/>
          <w:sz w:val="26"/>
          <w:szCs w:val="26"/>
        </w:rPr>
        <w:t>Operation Maths</w:t>
      </w:r>
      <w:r w:rsidR="00FA0125" w:rsidRPr="00FA0125">
        <w:rPr>
          <w:i/>
          <w:sz w:val="26"/>
          <w:szCs w:val="26"/>
        </w:rPr>
        <w:t xml:space="preserve"> 1</w:t>
      </w:r>
      <w:r w:rsidR="006A7808">
        <w:rPr>
          <w:sz w:val="26"/>
          <w:szCs w:val="26"/>
        </w:rPr>
        <w:t xml:space="preserve"> warm-</w:t>
      </w:r>
      <w:r w:rsidRPr="00FA0125">
        <w:rPr>
          <w:sz w:val="26"/>
          <w:szCs w:val="26"/>
        </w:rPr>
        <w:t>ups, discuss</w:t>
      </w:r>
      <w:r w:rsidR="006A7808">
        <w:rPr>
          <w:sz w:val="26"/>
          <w:szCs w:val="26"/>
        </w:rPr>
        <w:t>ions and activities as a spring</w:t>
      </w:r>
      <w:r w:rsidRPr="00FA0125">
        <w:rPr>
          <w:sz w:val="26"/>
          <w:szCs w:val="26"/>
        </w:rPr>
        <w:t xml:space="preserve">board and differentiate using the </w:t>
      </w:r>
      <w:r w:rsidR="00FA0125" w:rsidRPr="00FA0125">
        <w:rPr>
          <w:i/>
          <w:sz w:val="26"/>
          <w:szCs w:val="26"/>
        </w:rPr>
        <w:t>Operation Maths</w:t>
      </w:r>
      <w:r w:rsidR="00FA0125" w:rsidRPr="00FA0125">
        <w:rPr>
          <w:i/>
          <w:sz w:val="26"/>
          <w:szCs w:val="26"/>
        </w:rPr>
        <w:t xml:space="preserve"> 2</w:t>
      </w:r>
      <w:r w:rsidRPr="00FA0125">
        <w:rPr>
          <w:sz w:val="26"/>
          <w:szCs w:val="26"/>
        </w:rPr>
        <w:t xml:space="preserve"> suggestions. The prevalence of </w:t>
      </w:r>
      <w:r w:rsidR="006A7808">
        <w:rPr>
          <w:sz w:val="26"/>
          <w:szCs w:val="26"/>
        </w:rPr>
        <w:t>pair w</w:t>
      </w:r>
      <w:r w:rsidRPr="00FA0125">
        <w:rPr>
          <w:sz w:val="26"/>
          <w:szCs w:val="26"/>
        </w:rPr>
        <w:t>ork and other collaborative work will also support this approach (i.e. the children can support each other in pairs and become less dependent on direct teacher involvement)</w:t>
      </w:r>
      <w:r w:rsidR="006A7808">
        <w:rPr>
          <w:sz w:val="26"/>
          <w:szCs w:val="26"/>
        </w:rPr>
        <w:t>.</w:t>
      </w:r>
    </w:p>
    <w:p w:rsidR="00156CEB" w:rsidRPr="00FA0125" w:rsidRDefault="00156CEB" w:rsidP="00FA0125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>Monthly topics</w:t>
      </w:r>
      <w:r w:rsidR="006A7808">
        <w:rPr>
          <w:sz w:val="26"/>
          <w:szCs w:val="26"/>
        </w:rPr>
        <w:t>: there is considerable overlap</w:t>
      </w:r>
      <w:r w:rsidRPr="00FA0125">
        <w:rPr>
          <w:sz w:val="26"/>
          <w:szCs w:val="26"/>
        </w:rPr>
        <w:t xml:space="preserve"> of </w:t>
      </w:r>
      <w:r w:rsidR="006A7808">
        <w:rPr>
          <w:sz w:val="26"/>
          <w:szCs w:val="26"/>
        </w:rPr>
        <w:t>m</w:t>
      </w:r>
      <w:r w:rsidRPr="00FA0125">
        <w:rPr>
          <w:sz w:val="26"/>
          <w:szCs w:val="26"/>
        </w:rPr>
        <w:t xml:space="preserve">onthly </w:t>
      </w:r>
      <w:r w:rsidR="006A7808">
        <w:rPr>
          <w:sz w:val="26"/>
          <w:szCs w:val="26"/>
        </w:rPr>
        <w:t>t</w:t>
      </w:r>
      <w:r w:rsidRPr="00FA0125">
        <w:rPr>
          <w:sz w:val="26"/>
          <w:szCs w:val="26"/>
        </w:rPr>
        <w:t xml:space="preserve">opics for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sz w:val="26"/>
          <w:szCs w:val="26"/>
        </w:rPr>
        <w:t xml:space="preserve"> </w:t>
      </w:r>
      <w:r w:rsidRPr="006A7808">
        <w:rPr>
          <w:i/>
          <w:sz w:val="26"/>
          <w:szCs w:val="26"/>
        </w:rPr>
        <w:t>1</w:t>
      </w:r>
      <w:r w:rsidRPr="00FA0125">
        <w:rPr>
          <w:sz w:val="26"/>
          <w:szCs w:val="26"/>
        </w:rPr>
        <w:t xml:space="preserve"> and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sz w:val="26"/>
          <w:szCs w:val="26"/>
        </w:rPr>
        <w:t xml:space="preserve"> </w:t>
      </w:r>
      <w:r w:rsidRPr="006A7808">
        <w:rPr>
          <w:i/>
          <w:sz w:val="26"/>
          <w:szCs w:val="26"/>
        </w:rPr>
        <w:t>2</w:t>
      </w:r>
      <w:r w:rsidR="006A7808">
        <w:rPr>
          <w:sz w:val="26"/>
          <w:szCs w:val="26"/>
        </w:rPr>
        <w:t xml:space="preserve">. </w:t>
      </w:r>
      <w:r w:rsidRPr="00FA0125">
        <w:rPr>
          <w:sz w:val="26"/>
          <w:szCs w:val="26"/>
        </w:rPr>
        <w:t xml:space="preserve">A suggested approach is to choose a </w:t>
      </w:r>
      <w:r w:rsidR="006A7808">
        <w:rPr>
          <w:sz w:val="26"/>
          <w:szCs w:val="26"/>
        </w:rPr>
        <w:t>m</w:t>
      </w:r>
      <w:r w:rsidRPr="00FA0125">
        <w:rPr>
          <w:sz w:val="26"/>
          <w:szCs w:val="26"/>
        </w:rPr>
        <w:t xml:space="preserve">onthly </w:t>
      </w:r>
      <w:r w:rsidR="006A7808">
        <w:rPr>
          <w:sz w:val="26"/>
          <w:szCs w:val="26"/>
        </w:rPr>
        <w:t>t</w:t>
      </w:r>
      <w:r w:rsidRPr="00FA0125">
        <w:rPr>
          <w:sz w:val="26"/>
          <w:szCs w:val="26"/>
        </w:rPr>
        <w:t xml:space="preserve">opic from </w:t>
      </w:r>
      <w:r w:rsidR="00FA0125" w:rsidRPr="00FA0125">
        <w:rPr>
          <w:i/>
          <w:sz w:val="26"/>
          <w:szCs w:val="26"/>
        </w:rPr>
        <w:t>Operation Maths</w:t>
      </w:r>
      <w:r w:rsidR="00FA0125" w:rsidRPr="00FA0125">
        <w:rPr>
          <w:i/>
          <w:sz w:val="26"/>
          <w:szCs w:val="26"/>
        </w:rPr>
        <w:t xml:space="preserve"> 1</w:t>
      </w:r>
      <w:r w:rsidRPr="00FA0125">
        <w:rPr>
          <w:sz w:val="26"/>
          <w:szCs w:val="26"/>
        </w:rPr>
        <w:t xml:space="preserve"> and to differentiate by incorporating aspects of that same topic from </w:t>
      </w:r>
      <w:r w:rsidR="00FA0125" w:rsidRPr="00FA0125">
        <w:rPr>
          <w:i/>
          <w:sz w:val="26"/>
          <w:szCs w:val="26"/>
        </w:rPr>
        <w:t>Operation Maths</w:t>
      </w:r>
      <w:r w:rsidR="00FA0125" w:rsidRPr="00FA0125">
        <w:rPr>
          <w:i/>
          <w:sz w:val="26"/>
          <w:szCs w:val="26"/>
        </w:rPr>
        <w:t xml:space="preserve"> 2</w:t>
      </w:r>
      <w:r w:rsidRPr="00FA0125">
        <w:rPr>
          <w:sz w:val="26"/>
          <w:szCs w:val="26"/>
        </w:rPr>
        <w:t xml:space="preserve">; please see the yearly schemes in the </w:t>
      </w:r>
      <w:r w:rsidR="00FA0125" w:rsidRPr="00FA0125">
        <w:rPr>
          <w:i/>
          <w:sz w:val="26"/>
          <w:szCs w:val="26"/>
        </w:rPr>
        <w:t>Operation Maths</w:t>
      </w:r>
      <w:r w:rsidRPr="00FA0125">
        <w:rPr>
          <w:sz w:val="26"/>
          <w:szCs w:val="26"/>
        </w:rPr>
        <w:t xml:space="preserve"> </w:t>
      </w:r>
      <w:r w:rsidRPr="006A7808">
        <w:rPr>
          <w:i/>
          <w:sz w:val="26"/>
          <w:szCs w:val="26"/>
        </w:rPr>
        <w:t>1</w:t>
      </w:r>
      <w:r w:rsidRPr="00FA0125">
        <w:rPr>
          <w:sz w:val="26"/>
          <w:szCs w:val="26"/>
        </w:rPr>
        <w:t xml:space="preserve"> and </w:t>
      </w:r>
      <w:r w:rsidRPr="006A7808">
        <w:rPr>
          <w:i/>
          <w:sz w:val="26"/>
          <w:szCs w:val="26"/>
        </w:rPr>
        <w:t>2</w:t>
      </w:r>
      <w:r w:rsidRPr="00FA0125">
        <w:rPr>
          <w:sz w:val="26"/>
          <w:szCs w:val="26"/>
        </w:rPr>
        <w:t xml:space="preserve"> TRBs.</w:t>
      </w:r>
    </w:p>
    <w:p w:rsidR="00156CEB" w:rsidRPr="00FA0125" w:rsidRDefault="00156CEB" w:rsidP="00FA0125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 xml:space="preserve">For certain topics where the content between classes varies significantly (e.g. number) it may suit for the teacher to alternate instruction days/week e.g. </w:t>
      </w:r>
    </w:p>
    <w:p w:rsidR="00156CEB" w:rsidRPr="00FA0125" w:rsidRDefault="00156CEB" w:rsidP="00FA0125">
      <w:pPr>
        <w:pStyle w:val="ListParagraph"/>
        <w:numPr>
          <w:ilvl w:val="1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 xml:space="preserve">Day 1/Week 1: teacher works largely with </w:t>
      </w:r>
      <w:r w:rsidR="006A7808">
        <w:rPr>
          <w:sz w:val="26"/>
          <w:szCs w:val="26"/>
        </w:rPr>
        <w:t>First C</w:t>
      </w:r>
      <w:r w:rsidRPr="00FA0125">
        <w:rPr>
          <w:sz w:val="26"/>
          <w:szCs w:val="26"/>
        </w:rPr>
        <w:t>lass, e.g. using concrete activities, whole group teaching etc</w:t>
      </w:r>
      <w:r w:rsidR="006A7808">
        <w:rPr>
          <w:sz w:val="26"/>
          <w:szCs w:val="26"/>
        </w:rPr>
        <w:t>.</w:t>
      </w:r>
      <w:r w:rsidRPr="00FA0125">
        <w:rPr>
          <w:sz w:val="26"/>
          <w:szCs w:val="26"/>
        </w:rPr>
        <w:t xml:space="preserve">, while </w:t>
      </w:r>
      <w:r w:rsidR="006A7808">
        <w:rPr>
          <w:sz w:val="26"/>
          <w:szCs w:val="26"/>
        </w:rPr>
        <w:t>S</w:t>
      </w:r>
      <w:r w:rsidRPr="00FA0125">
        <w:rPr>
          <w:sz w:val="26"/>
          <w:szCs w:val="26"/>
        </w:rPr>
        <w:t xml:space="preserve">econd </w:t>
      </w:r>
      <w:r w:rsidR="006A7808">
        <w:rPr>
          <w:sz w:val="26"/>
          <w:szCs w:val="26"/>
        </w:rPr>
        <w:t>C</w:t>
      </w:r>
      <w:r w:rsidRPr="00FA0125">
        <w:rPr>
          <w:sz w:val="26"/>
          <w:szCs w:val="26"/>
        </w:rPr>
        <w:t xml:space="preserve">lass </w:t>
      </w:r>
      <w:r w:rsidR="006A7808">
        <w:rPr>
          <w:sz w:val="26"/>
          <w:szCs w:val="26"/>
        </w:rPr>
        <w:t xml:space="preserve">children </w:t>
      </w:r>
      <w:r w:rsidRPr="00FA0125">
        <w:rPr>
          <w:sz w:val="26"/>
          <w:szCs w:val="26"/>
        </w:rPr>
        <w:t>engage in suitable activities they can do independently</w:t>
      </w:r>
      <w:r w:rsidR="006A7808">
        <w:rPr>
          <w:sz w:val="26"/>
          <w:szCs w:val="26"/>
        </w:rPr>
        <w:t>,</w:t>
      </w:r>
      <w:r w:rsidRPr="00FA0125">
        <w:rPr>
          <w:sz w:val="26"/>
          <w:szCs w:val="26"/>
        </w:rPr>
        <w:t xml:space="preserve"> e.g. supporting maths games, pages of text where the content was prepared/taught previously</w:t>
      </w:r>
      <w:r w:rsidR="006A7808">
        <w:rPr>
          <w:sz w:val="26"/>
          <w:szCs w:val="26"/>
        </w:rPr>
        <w:t>.</w:t>
      </w:r>
    </w:p>
    <w:p w:rsidR="00156CEB" w:rsidRPr="00FA0125" w:rsidRDefault="00156CEB" w:rsidP="00FA0125">
      <w:pPr>
        <w:pStyle w:val="ListParagraph"/>
        <w:numPr>
          <w:ilvl w:val="1"/>
          <w:numId w:val="1"/>
        </w:numPr>
        <w:spacing w:line="360" w:lineRule="atLeast"/>
        <w:ind w:hanging="357"/>
        <w:rPr>
          <w:sz w:val="26"/>
          <w:szCs w:val="26"/>
        </w:rPr>
      </w:pPr>
      <w:r w:rsidRPr="00FA0125">
        <w:rPr>
          <w:sz w:val="26"/>
          <w:szCs w:val="26"/>
        </w:rPr>
        <w:t xml:space="preserve">Day 2/Week 2: teacher works largely with </w:t>
      </w:r>
      <w:r w:rsidR="006A7808">
        <w:rPr>
          <w:sz w:val="26"/>
          <w:szCs w:val="26"/>
        </w:rPr>
        <w:t>S</w:t>
      </w:r>
      <w:r w:rsidRPr="00FA0125">
        <w:rPr>
          <w:sz w:val="26"/>
          <w:szCs w:val="26"/>
        </w:rPr>
        <w:t xml:space="preserve">econd </w:t>
      </w:r>
      <w:r w:rsidR="006A7808">
        <w:rPr>
          <w:sz w:val="26"/>
          <w:szCs w:val="26"/>
        </w:rPr>
        <w:t>C</w:t>
      </w:r>
      <w:r w:rsidRPr="00FA0125">
        <w:rPr>
          <w:sz w:val="26"/>
          <w:szCs w:val="26"/>
        </w:rPr>
        <w:t>lass, e.g. using concrete activities, whole group teaching etc</w:t>
      </w:r>
      <w:r w:rsidR="006A7808">
        <w:rPr>
          <w:sz w:val="26"/>
          <w:szCs w:val="26"/>
        </w:rPr>
        <w:t>.</w:t>
      </w:r>
      <w:r w:rsidRPr="00FA0125">
        <w:rPr>
          <w:sz w:val="26"/>
          <w:szCs w:val="26"/>
        </w:rPr>
        <w:t xml:space="preserve">, while </w:t>
      </w:r>
      <w:r w:rsidR="006A7808">
        <w:rPr>
          <w:sz w:val="26"/>
          <w:szCs w:val="26"/>
        </w:rPr>
        <w:t>F</w:t>
      </w:r>
      <w:r w:rsidRPr="00FA0125">
        <w:rPr>
          <w:sz w:val="26"/>
          <w:szCs w:val="26"/>
        </w:rPr>
        <w:t xml:space="preserve">irst </w:t>
      </w:r>
      <w:r w:rsidR="006A7808">
        <w:rPr>
          <w:sz w:val="26"/>
          <w:szCs w:val="26"/>
        </w:rPr>
        <w:t>C</w:t>
      </w:r>
      <w:r w:rsidRPr="00FA0125">
        <w:rPr>
          <w:sz w:val="26"/>
          <w:szCs w:val="26"/>
        </w:rPr>
        <w:t xml:space="preserve">lass </w:t>
      </w:r>
      <w:r w:rsidR="006A7808">
        <w:rPr>
          <w:sz w:val="26"/>
          <w:szCs w:val="26"/>
        </w:rPr>
        <w:t xml:space="preserve">children </w:t>
      </w:r>
      <w:r w:rsidRPr="00FA0125">
        <w:rPr>
          <w:sz w:val="26"/>
          <w:szCs w:val="26"/>
        </w:rPr>
        <w:t>engage in suitable activities they can do independently</w:t>
      </w:r>
      <w:r w:rsidR="006A7808">
        <w:rPr>
          <w:sz w:val="26"/>
          <w:szCs w:val="26"/>
        </w:rPr>
        <w:t xml:space="preserve">, </w:t>
      </w:r>
      <w:r w:rsidRPr="00FA0125">
        <w:rPr>
          <w:sz w:val="26"/>
          <w:szCs w:val="26"/>
        </w:rPr>
        <w:t>e.g. supporting maths games, pages of text where the content was prepared/taught previously</w:t>
      </w:r>
      <w:r w:rsidR="006A7808">
        <w:rPr>
          <w:sz w:val="26"/>
          <w:szCs w:val="26"/>
        </w:rPr>
        <w:t>.</w:t>
      </w:r>
    </w:p>
    <w:p w:rsidR="00156CEB" w:rsidRPr="009A4260" w:rsidRDefault="00156CEB" w:rsidP="00156CEB">
      <w:pPr>
        <w:pStyle w:val="ListParagraph"/>
        <w:rPr>
          <w:sz w:val="28"/>
          <w:szCs w:val="28"/>
        </w:rPr>
      </w:pPr>
    </w:p>
    <w:p w:rsidR="00156CEB" w:rsidRPr="00FA0125" w:rsidRDefault="00156CEB" w:rsidP="00156CEB">
      <w:pPr>
        <w:rPr>
          <w:sz w:val="20"/>
          <w:szCs w:val="20"/>
        </w:rPr>
      </w:pPr>
      <w:r w:rsidRPr="00FA0125">
        <w:rPr>
          <w:sz w:val="20"/>
          <w:szCs w:val="20"/>
        </w:rPr>
        <w:t xml:space="preserve">*The teacher should be mindful that this may mean the route of the </w:t>
      </w:r>
      <w:r w:rsidR="006A7808">
        <w:rPr>
          <w:sz w:val="20"/>
          <w:szCs w:val="20"/>
        </w:rPr>
        <w:t>Second C</w:t>
      </w:r>
      <w:r w:rsidRPr="00FA0125">
        <w:rPr>
          <w:sz w:val="20"/>
          <w:szCs w:val="20"/>
        </w:rPr>
        <w:t>lass children m</w:t>
      </w:r>
      <w:r w:rsidR="006A7808">
        <w:rPr>
          <w:sz w:val="20"/>
          <w:szCs w:val="20"/>
        </w:rPr>
        <w:t>ight</w:t>
      </w:r>
      <w:r w:rsidRPr="00FA0125">
        <w:rPr>
          <w:sz w:val="20"/>
          <w:szCs w:val="20"/>
        </w:rPr>
        <w:t xml:space="preserve"> not be as logical as the original topic order of </w:t>
      </w:r>
      <w:r w:rsidR="00FA0125" w:rsidRPr="00FA0125">
        <w:rPr>
          <w:i/>
          <w:sz w:val="20"/>
          <w:szCs w:val="20"/>
        </w:rPr>
        <w:t>Operation Maths</w:t>
      </w:r>
      <w:r w:rsidRPr="00FA0125">
        <w:rPr>
          <w:sz w:val="20"/>
          <w:szCs w:val="20"/>
        </w:rPr>
        <w:t xml:space="preserve"> 2. </w:t>
      </w:r>
      <w:r w:rsidR="006A7808">
        <w:rPr>
          <w:sz w:val="20"/>
          <w:szCs w:val="20"/>
        </w:rPr>
        <w:t>This will also</w:t>
      </w:r>
      <w:r w:rsidRPr="00FA0125">
        <w:rPr>
          <w:sz w:val="20"/>
          <w:szCs w:val="20"/>
        </w:rPr>
        <w:t xml:space="preserve"> have some knock-on effects for using the </w:t>
      </w:r>
      <w:r w:rsidR="00FA0125" w:rsidRPr="006A7808">
        <w:rPr>
          <w:i/>
          <w:sz w:val="20"/>
          <w:szCs w:val="20"/>
        </w:rPr>
        <w:t>Operation Maths</w:t>
      </w:r>
      <w:r w:rsidRPr="006A7808">
        <w:rPr>
          <w:i/>
          <w:sz w:val="20"/>
          <w:szCs w:val="20"/>
        </w:rPr>
        <w:t xml:space="preserve"> 2 Assessment</w:t>
      </w:r>
      <w:r w:rsidRPr="00FA0125">
        <w:rPr>
          <w:sz w:val="20"/>
          <w:szCs w:val="20"/>
        </w:rPr>
        <w:t xml:space="preserve"> booklet</w:t>
      </w:r>
    </w:p>
    <w:p w:rsidR="00156CEB" w:rsidRDefault="00156CEB">
      <w:pPr>
        <w:rPr>
          <w:b/>
        </w:rPr>
      </w:pPr>
      <w:r>
        <w:rPr>
          <w:b/>
        </w:rPr>
        <w:br w:type="page"/>
      </w:r>
    </w:p>
    <w:p w:rsidR="00F94A0E" w:rsidRDefault="00F94A0E"/>
    <w:tbl>
      <w:tblPr>
        <w:tblW w:w="13610" w:type="dxa"/>
        <w:tblInd w:w="-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142"/>
        <w:gridCol w:w="1047"/>
        <w:gridCol w:w="3902"/>
        <w:gridCol w:w="761"/>
        <w:gridCol w:w="2665"/>
        <w:gridCol w:w="952"/>
        <w:gridCol w:w="2760"/>
      </w:tblGrid>
      <w:tr w:rsidR="00156CEB" w:rsidRPr="0088055F" w:rsidTr="00711511">
        <w:trPr>
          <w:trHeight w:hRule="exact" w:val="559"/>
        </w:trPr>
        <w:tc>
          <w:tcPr>
            <w:tcW w:w="381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Default="00FA0125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First C</w:t>
            </w:r>
            <w:r w:rsidR="00156CEB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lass </w:t>
            </w:r>
            <w:r w:rsidR="00711511" w:rsidRPr="00FA0125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71151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156CEB" w:rsidRDefault="0049091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Second C</w:t>
            </w:r>
            <w:r w:rsidR="0071151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lass </w:t>
            </w:r>
            <w:r w:rsidR="00711511" w:rsidRPr="0049091E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</w:t>
            </w:r>
            <w:r w:rsidR="00156CEB" w:rsidRPr="0049091E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156CEB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</w:tr>
      <w:tr w:rsidR="00711511" w:rsidRPr="0088055F" w:rsidTr="00156CEB">
        <w:trPr>
          <w:trHeight w:hRule="exact" w:val="559"/>
        </w:trPr>
        <w:tc>
          <w:tcPr>
            <w:tcW w:w="381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1047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390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FA0125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665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95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FA0125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76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</w:tr>
      <w:tr w:rsidR="00156CEB" w:rsidRPr="0088055F" w:rsidTr="00156CEB">
        <w:trPr>
          <w:trHeight w:hRule="exact" w:val="293"/>
        </w:trPr>
        <w:tc>
          <w:tcPr>
            <w:tcW w:w="381" w:type="dxa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 w:rsidRPr="00984CF8"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September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1–5</w:t>
            </w:r>
          </w:p>
        </w:tc>
        <w:tc>
          <w:tcPr>
            <w:tcW w:w="2665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Look Back</w:t>
            </w:r>
          </w:p>
        </w:tc>
        <w:tc>
          <w:tcPr>
            <w:tcW w:w="952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1–5</w:t>
            </w:r>
          </w:p>
        </w:tc>
        <w:tc>
          <w:tcPr>
            <w:tcW w:w="2760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Look Back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Operations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6–8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Operations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6–10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Operations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90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Comparing and ordering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Operations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Counting and numeration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9–10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 xml:space="preserve">Comparing and </w:t>
            </w:r>
            <w:r w:rsidR="00FE2262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o</w:t>
            </w: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rdering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FE2262" w:rsidP="00F94A0E">
            <w:pPr>
              <w:pStyle w:val="TableParagraph"/>
              <w:kinsoku w:val="0"/>
              <w:overflowPunct w:val="0"/>
              <w:rPr>
                <w:color w:val="1D1C1B"/>
                <w:w w:val="110"/>
                <w:sz w:val="23"/>
                <w:szCs w:val="23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Comparing and o</w:t>
            </w:r>
            <w:r w:rsidR="00156CEB">
              <w:rPr>
                <w:color w:val="1D1C1B"/>
                <w:w w:val="110"/>
                <w:sz w:val="23"/>
                <w:szCs w:val="23"/>
              </w:rPr>
              <w:t>rdering</w:t>
            </w:r>
          </w:p>
          <w:p w:rsidR="00156CEB" w:rsidRDefault="00156CEB" w:rsidP="00F94A0E">
            <w:pPr>
              <w:pStyle w:val="TableParagraph"/>
              <w:kinsoku w:val="0"/>
              <w:overflowPunct w:val="0"/>
              <w:spacing w:before="16" w:line="240" w:lineRule="auto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(activities)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90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95"/>
                <w:sz w:val="23"/>
                <w:szCs w:val="23"/>
                <w:lang w:eastAsia="en-IE"/>
              </w:rPr>
              <w:t>11–12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Operations 2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before="16" w:line="240" w:lineRule="auto"/>
              <w:rPr>
                <w:rFonts w:ascii="Times New Roman" w:hAnsi="Times New Roman" w:cs="Times New Roman"/>
              </w:rPr>
            </w:pPr>
          </w:p>
        </w:tc>
      </w:tr>
      <w:tr w:rsidR="00156CEB" w:rsidRPr="0088055F" w:rsidTr="00156CEB">
        <w:trPr>
          <w:trHeight w:hRule="exact" w:val="293"/>
        </w:trPr>
        <w:tc>
          <w:tcPr>
            <w:tcW w:w="381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902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13–16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Numbers 11, 12 and 13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12–16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Default="00FE2262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Comparing and o</w:t>
            </w:r>
            <w:r w:rsidR="00156CEB">
              <w:rPr>
                <w:color w:val="1D1C1B"/>
                <w:w w:val="110"/>
                <w:sz w:val="23"/>
                <w:szCs w:val="23"/>
              </w:rPr>
              <w:t>rdering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October</w:t>
            </w: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Counting and numeration; Operations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17–20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Numbers 14, 15 and 16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17–21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2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21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Get Busy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85"/>
                <w:sz w:val="23"/>
                <w:szCs w:val="23"/>
              </w:rPr>
              <w:t>11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Get Busy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22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Problem-solving 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Algebra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Extending and using pattern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23–24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Pattern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26–27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Pattern 1</w:t>
            </w:r>
          </w:p>
        </w:tc>
      </w:tr>
      <w:tr w:rsidR="00156CEB" w:rsidRPr="0088055F" w:rsidTr="00156CEB">
        <w:trPr>
          <w:trHeight w:hRule="exact" w:val="293"/>
        </w:trPr>
        <w:tc>
          <w:tcPr>
            <w:tcW w:w="381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Counting and numeration; Operations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25–28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Numbers 17, 18 and 19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24–25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Counting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November</w:t>
            </w: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29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Get Busy 2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22–23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Revision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Counting and numeration; Operations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30–31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 20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32–34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Problem-solving 2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  <w:r>
              <w:rPr>
                <w:color w:val="1D1C1B"/>
                <w:sz w:val="23"/>
                <w:szCs w:val="23"/>
              </w:rPr>
              <w:t>31</w:t>
            </w:r>
            <w:r w:rsidR="006A56D8">
              <w:rPr>
                <w:color w:val="1D1C1B"/>
                <w:sz w:val="23"/>
                <w:szCs w:val="23"/>
              </w:rPr>
              <w:t>–</w:t>
            </w:r>
            <w:r>
              <w:rPr>
                <w:color w:val="1D1C1B"/>
                <w:sz w:val="23"/>
                <w:szCs w:val="23"/>
              </w:rPr>
              <w:t>32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  <w:r w:rsidRPr="0039539A">
              <w:rPr>
                <w:color w:val="1D1C1B"/>
                <w:sz w:val="23"/>
                <w:szCs w:val="23"/>
              </w:rPr>
              <w:t>Problem-solving  1,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35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Get Busy 3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33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  <w:r w:rsidRPr="0039539A">
              <w:rPr>
                <w:color w:val="1D1C1B"/>
                <w:sz w:val="23"/>
                <w:szCs w:val="23"/>
              </w:rPr>
              <w:t>Get Busy 2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Operations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36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Zero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36–37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Estimation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Counting and numeration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37–38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Counting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</w:tr>
      <w:tr w:rsidR="00156CEB" w:rsidRPr="0088055F" w:rsidTr="00156CEB">
        <w:trPr>
          <w:trHeight w:hRule="exact" w:val="560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Measures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Time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39–41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Time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28–30, 38</w:t>
            </w:r>
            <w:r w:rsidR="006A56D8">
              <w:rPr>
                <w:color w:val="1D1C1B"/>
                <w:w w:val="105"/>
                <w:sz w:val="23"/>
                <w:szCs w:val="23"/>
              </w:rPr>
              <w:t>–</w:t>
            </w:r>
            <w:r>
              <w:rPr>
                <w:color w:val="1D1C1B"/>
                <w:w w:val="105"/>
                <w:sz w:val="23"/>
                <w:szCs w:val="23"/>
              </w:rPr>
              <w:t>41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color w:val="1D1C1B"/>
                <w:sz w:val="23"/>
                <w:szCs w:val="23"/>
              </w:rPr>
            </w:pPr>
            <w:r>
              <w:rPr>
                <w:color w:val="1D1C1B"/>
                <w:sz w:val="23"/>
                <w:szCs w:val="23"/>
              </w:rPr>
              <w:t>Time 1</w:t>
            </w:r>
          </w:p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Time  2</w:t>
            </w:r>
          </w:p>
        </w:tc>
      </w:tr>
      <w:tr w:rsidR="00156CEB" w:rsidRPr="0088055F" w:rsidTr="00156CEB">
        <w:trPr>
          <w:trHeight w:hRule="exact" w:val="293"/>
        </w:trPr>
        <w:tc>
          <w:tcPr>
            <w:tcW w:w="381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42–43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Revision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39539A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39539A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156CEB" w:rsidRPr="00984CF8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December</w:t>
            </w: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Measures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Money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44–46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Money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50–54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Money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Number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Place value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47–49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Place Value 1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42–43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FE2262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Place v</w:t>
            </w:r>
            <w:r w:rsidR="00156CEB">
              <w:rPr>
                <w:color w:val="1D1C1B"/>
                <w:sz w:val="23"/>
                <w:szCs w:val="23"/>
              </w:rPr>
              <w:t>alue 1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5"/>
                <w:sz w:val="23"/>
                <w:szCs w:val="23"/>
                <w:lang w:eastAsia="en-IE"/>
              </w:rPr>
              <w:t>N/A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50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Get Busy 4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44–45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Revision 2</w:t>
            </w:r>
          </w:p>
        </w:tc>
      </w:tr>
      <w:tr w:rsidR="00156CEB" w:rsidRPr="0088055F" w:rsidTr="00156CEB">
        <w:trPr>
          <w:trHeight w:hRule="exact" w:val="303"/>
        </w:trPr>
        <w:tc>
          <w:tcPr>
            <w:tcW w:w="381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Week 3</w:t>
            </w:r>
          </w:p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Algebra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Extending and using pattern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95"/>
                <w:sz w:val="23"/>
                <w:szCs w:val="23"/>
                <w:lang w:eastAsia="en-IE"/>
              </w:rPr>
              <w:t>51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  <w:t>Pattern 2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34–35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Pattern 2</w:t>
            </w:r>
          </w:p>
        </w:tc>
      </w:tr>
      <w:tr w:rsidR="00156CEB" w:rsidRPr="0088055F" w:rsidTr="00156CEB">
        <w:trPr>
          <w:trHeight w:hRule="exact" w:val="293"/>
        </w:trPr>
        <w:tc>
          <w:tcPr>
            <w:tcW w:w="381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42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47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Measures</w:t>
            </w:r>
          </w:p>
        </w:tc>
        <w:tc>
          <w:tcPr>
            <w:tcW w:w="3902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Capacity</w:t>
            </w:r>
          </w:p>
        </w:tc>
        <w:tc>
          <w:tcPr>
            <w:tcW w:w="761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52–55</w:t>
            </w:r>
          </w:p>
        </w:tc>
        <w:tc>
          <w:tcPr>
            <w:tcW w:w="2665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Pr="0088055F" w:rsidRDefault="00156CE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Capacity</w:t>
            </w:r>
          </w:p>
        </w:tc>
        <w:tc>
          <w:tcPr>
            <w:tcW w:w="952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96–98</w:t>
            </w:r>
          </w:p>
        </w:tc>
        <w:tc>
          <w:tcPr>
            <w:tcW w:w="2760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156CEB" w:rsidRDefault="00156CEB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Capacity</w:t>
            </w:r>
          </w:p>
        </w:tc>
      </w:tr>
    </w:tbl>
    <w:p w:rsidR="00F94A0E" w:rsidRDefault="00F94A0E">
      <w:r>
        <w:br w:type="page"/>
      </w:r>
    </w:p>
    <w:p w:rsidR="00D45626" w:rsidRDefault="00D45626"/>
    <w:tbl>
      <w:tblPr>
        <w:tblW w:w="14213" w:type="dxa"/>
        <w:tblInd w:w="-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1193"/>
        <w:gridCol w:w="1093"/>
        <w:gridCol w:w="3876"/>
        <w:gridCol w:w="994"/>
        <w:gridCol w:w="2783"/>
        <w:gridCol w:w="994"/>
        <w:gridCol w:w="2882"/>
      </w:tblGrid>
      <w:tr w:rsidR="00711511" w:rsidRPr="0088055F" w:rsidTr="00711511">
        <w:trPr>
          <w:trHeight w:hRule="exact" w:val="562"/>
        </w:trPr>
        <w:tc>
          <w:tcPr>
            <w:tcW w:w="398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Default="0049091E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First Class </w:t>
            </w:r>
            <w:r w:rsidRPr="00FA0125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book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Default="0049091E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Second Class </w:t>
            </w:r>
            <w:r w:rsidRPr="0049091E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book</w:t>
            </w:r>
          </w:p>
        </w:tc>
      </w:tr>
      <w:tr w:rsidR="00711511" w:rsidRPr="0088055F" w:rsidTr="00711511">
        <w:trPr>
          <w:trHeight w:hRule="exact" w:val="562"/>
        </w:trPr>
        <w:tc>
          <w:tcPr>
            <w:tcW w:w="398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109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3876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99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FA0125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78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99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January</w:t>
            </w: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D456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Default="00711511" w:rsidP="006515D4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Counting and numeration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56–58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Counting 2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78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Counting 2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Place value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59–61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Place Value 2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79–81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Place Value 2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D456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  <w:p w:rsidR="00711511" w:rsidRDefault="00711511" w:rsidP="00E672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Operations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62–67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3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58–61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3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Comparing and ordering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68–69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Comparing and Ordering 2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Counting and numeration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70–71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Estimation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February</w:t>
            </w: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Data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Representing and interpreting data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72–75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Data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1E4EA5">
              <w:rPr>
                <w:color w:val="1D1C1B"/>
                <w:w w:val="105"/>
                <w:sz w:val="23"/>
                <w:szCs w:val="23"/>
              </w:rPr>
              <w:t>46–49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1E4EA5">
              <w:rPr>
                <w:color w:val="1D1C1B"/>
                <w:w w:val="110"/>
                <w:sz w:val="23"/>
                <w:szCs w:val="23"/>
              </w:rPr>
              <w:t>Data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Place value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76–77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Place Value 3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</w:tr>
      <w:tr w:rsidR="00711511" w:rsidRPr="0088055F" w:rsidTr="00711511">
        <w:trPr>
          <w:trHeight w:hRule="exact" w:val="500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78–79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Revision 2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 w:rsidP="001E4EA5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1E4EA5">
              <w:rPr>
                <w:color w:val="1D1C1B"/>
                <w:sz w:val="23"/>
                <w:szCs w:val="23"/>
              </w:rPr>
              <w:t>67, 68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1E4EA5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1E4EA5">
              <w:rPr>
                <w:color w:val="1D1C1B"/>
                <w:sz w:val="23"/>
                <w:szCs w:val="23"/>
              </w:rPr>
              <w:t>Problem solving 2</w:t>
            </w:r>
          </w:p>
        </w:tc>
      </w:tr>
      <w:tr w:rsidR="00711511" w:rsidRPr="0088055F" w:rsidTr="00711511">
        <w:trPr>
          <w:trHeight w:hRule="exact" w:val="726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Number; Algebra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Operations; Pattern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80–81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Repeated Addition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82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Get Busy 5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57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Get Busy 3</w:t>
            </w:r>
          </w:p>
        </w:tc>
      </w:tr>
      <w:tr w:rsidR="00711511" w:rsidRPr="0088055F" w:rsidTr="00711511">
        <w:trPr>
          <w:trHeight w:hRule="exact" w:val="563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Number; Algebra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spacing w:line="216" w:lineRule="auto"/>
              <w:ind w:right="301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Counting and numeration; Extending and using pattern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83–88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The 100 Square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 w:rsidP="00E672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March</w:t>
            </w: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Measures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Length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89–91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Length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84–88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Length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jc w:val="center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Operations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92–95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4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82–83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4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88055F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jc w:val="center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Week 3</w:t>
            </w:r>
          </w:p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Fractions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96</w:t>
            </w:r>
            <w:r w:rsidR="006A56D8">
              <w:rPr>
                <w:color w:val="1D1C1B"/>
                <w:w w:val="105"/>
                <w:sz w:val="23"/>
                <w:szCs w:val="23"/>
              </w:rPr>
              <w:t>–</w:t>
            </w:r>
            <w:r>
              <w:rPr>
                <w:color w:val="1D1C1B"/>
                <w:w w:val="105"/>
                <w:sz w:val="23"/>
                <w:szCs w:val="23"/>
              </w:rPr>
              <w:t>100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Fractions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62–66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Fractions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511" w:rsidRPr="0088055F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April</w:t>
            </w: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4" w:space="0" w:color="auto"/>
              <w:right w:val="single" w:sz="8" w:space="0" w:color="7256A0"/>
            </w:tcBorders>
          </w:tcPr>
          <w:p w:rsidR="00711511" w:rsidRPr="0088055F" w:rsidRDefault="00711511" w:rsidP="001E4E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Measures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Time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101–104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Time 2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sz w:val="23"/>
                <w:szCs w:val="23"/>
              </w:rPr>
              <w:t>73–75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w w:val="105"/>
                <w:sz w:val="23"/>
                <w:szCs w:val="23"/>
              </w:rPr>
              <w:t>Time 3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105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Get Busy 6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sz w:val="23"/>
                <w:szCs w:val="23"/>
              </w:rPr>
              <w:t>76–77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sz w:val="23"/>
                <w:szCs w:val="23"/>
              </w:rPr>
              <w:t>Revision 3</w:t>
            </w:r>
          </w:p>
        </w:tc>
      </w:tr>
      <w:tr w:rsidR="00711511" w:rsidRPr="0088055F" w:rsidTr="00711511">
        <w:trPr>
          <w:trHeight w:hRule="exact" w:val="65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8" w:space="0" w:color="7256A0"/>
              <w:right w:val="single" w:sz="8" w:space="0" w:color="7256A0"/>
            </w:tcBorders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Shape and space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 xml:space="preserve">2-D shapes; Symmetry 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106–107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Shape and Space 1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ind w:right="65"/>
              <w:rPr>
                <w:color w:val="1D1C1B"/>
                <w:w w:val="105"/>
                <w:sz w:val="23"/>
                <w:szCs w:val="23"/>
              </w:rPr>
            </w:pPr>
            <w:r w:rsidRPr="009C64EB">
              <w:rPr>
                <w:color w:val="1D1C1B"/>
                <w:sz w:val="23"/>
                <w:szCs w:val="23"/>
              </w:rPr>
              <w:t>55–56</w:t>
            </w:r>
          </w:p>
          <w:p w:rsidR="00711511" w:rsidRPr="009C64EB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w w:val="105"/>
                <w:sz w:val="23"/>
                <w:szCs w:val="23"/>
              </w:rPr>
              <w:t>89–92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rPr>
                <w:color w:val="1D1C1B"/>
                <w:sz w:val="23"/>
                <w:szCs w:val="23"/>
              </w:rPr>
            </w:pPr>
            <w:r w:rsidRPr="009C64EB">
              <w:rPr>
                <w:color w:val="1D1C1B"/>
                <w:w w:val="110"/>
                <w:sz w:val="23"/>
                <w:szCs w:val="23"/>
              </w:rPr>
              <w:t>Symmetry</w:t>
            </w:r>
            <w:r w:rsidRPr="009C64EB">
              <w:rPr>
                <w:color w:val="1D1C1B"/>
                <w:sz w:val="23"/>
                <w:szCs w:val="23"/>
              </w:rPr>
              <w:t xml:space="preserve"> </w:t>
            </w:r>
          </w:p>
          <w:p w:rsidR="00711511" w:rsidRPr="009C64EB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sz w:val="23"/>
                <w:szCs w:val="23"/>
              </w:rPr>
              <w:t>2-D Shapes</w:t>
            </w: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7256A0"/>
              <w:left w:val="single" w:sz="4" w:space="0" w:color="auto"/>
              <w:right w:val="single" w:sz="8" w:space="0" w:color="7256A0"/>
            </w:tcBorders>
          </w:tcPr>
          <w:p w:rsidR="00711511" w:rsidRPr="0088055F" w:rsidRDefault="00711511" w:rsidP="001E4E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Week 3</w:t>
            </w:r>
          </w:p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0"/>
                <w:sz w:val="23"/>
                <w:szCs w:val="23"/>
              </w:rPr>
              <w:t>Operations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108–113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Operations 5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093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87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95"/>
                <w:sz w:val="23"/>
                <w:szCs w:val="23"/>
              </w:rPr>
              <w:t>114–115</w:t>
            </w:r>
          </w:p>
        </w:tc>
        <w:tc>
          <w:tcPr>
            <w:tcW w:w="278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Revision 3</w:t>
            </w:r>
          </w:p>
        </w:tc>
        <w:tc>
          <w:tcPr>
            <w:tcW w:w="9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sz w:val="23"/>
                <w:szCs w:val="23"/>
              </w:rPr>
              <w:t>93–95</w:t>
            </w:r>
          </w:p>
        </w:tc>
        <w:tc>
          <w:tcPr>
            <w:tcW w:w="288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9C64EB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9C64EB">
              <w:rPr>
                <w:color w:val="1D1C1B"/>
                <w:w w:val="105"/>
                <w:sz w:val="23"/>
                <w:szCs w:val="23"/>
              </w:rPr>
              <w:t>Problem-solving 3, Get Busy 4</w:t>
            </w:r>
          </w:p>
        </w:tc>
      </w:tr>
    </w:tbl>
    <w:p w:rsidR="009C64EB" w:rsidRDefault="009C64EB"/>
    <w:p w:rsidR="009C64EB" w:rsidRDefault="009C64EB">
      <w:r>
        <w:br w:type="page"/>
      </w:r>
    </w:p>
    <w:tbl>
      <w:tblPr>
        <w:tblW w:w="13910" w:type="dxa"/>
        <w:tblInd w:w="-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167"/>
        <w:gridCol w:w="1556"/>
        <w:gridCol w:w="3210"/>
        <w:gridCol w:w="1070"/>
        <w:gridCol w:w="2724"/>
        <w:gridCol w:w="973"/>
        <w:gridCol w:w="2821"/>
      </w:tblGrid>
      <w:tr w:rsidR="00711511" w:rsidRPr="0088055F" w:rsidTr="00711511">
        <w:trPr>
          <w:trHeight w:hRule="exact" w:val="559"/>
        </w:trPr>
        <w:tc>
          <w:tcPr>
            <w:tcW w:w="389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Default="0049091E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First Class </w:t>
            </w:r>
            <w:r w:rsidRPr="00FA0125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book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Default="0049091E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Second Class </w:t>
            </w:r>
            <w:r w:rsidRPr="0049091E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book</w:t>
            </w:r>
          </w:p>
        </w:tc>
      </w:tr>
      <w:tr w:rsidR="00711511" w:rsidRPr="0088055F" w:rsidTr="00711511">
        <w:trPr>
          <w:trHeight w:hRule="exact" w:val="559"/>
        </w:trPr>
        <w:tc>
          <w:tcPr>
            <w:tcW w:w="389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E672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1556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321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107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FA0125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72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2821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711511" w:rsidRPr="0088055F" w:rsidRDefault="00711511" w:rsidP="007115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May</w:t>
            </w:r>
          </w:p>
        </w:tc>
        <w:tc>
          <w:tcPr>
            <w:tcW w:w="116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</w:tc>
        <w:tc>
          <w:tcPr>
            <w:tcW w:w="155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39539A" w:rsidRDefault="00711511" w:rsidP="0039539A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Measures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Money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116–119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Money 2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108–112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Money 2</w:t>
            </w: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55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Area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124–126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Area</w:t>
            </w:r>
          </w:p>
        </w:tc>
      </w:tr>
      <w:tr w:rsidR="00711511" w:rsidRPr="0088055F" w:rsidTr="00711511">
        <w:trPr>
          <w:trHeight w:hRule="exact" w:val="506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Shape and space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2-D shapes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120–121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Shape and Space 2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Arial Narrow" w:eastAsiaTheme="minorEastAsia" w:hAnsi="Arial Narrow" w:cs="Arial Narrow"/>
                <w:color w:val="1D1C1B"/>
                <w:w w:val="110"/>
                <w:sz w:val="23"/>
                <w:szCs w:val="23"/>
                <w:lang w:eastAsia="en-IE"/>
              </w:rPr>
            </w:pP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color w:val="1D1C1B"/>
                <w:w w:val="105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Spatial awareness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129–130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Spatial Awareness</w:t>
            </w:r>
          </w:p>
        </w:tc>
      </w:tr>
      <w:tr w:rsidR="00711511" w:rsidRPr="0088055F" w:rsidTr="00711511">
        <w:trPr>
          <w:trHeight w:hRule="exact" w:val="26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3–4</w:t>
            </w: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122–123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Problem-solving 3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95"/>
                <w:sz w:val="23"/>
                <w:szCs w:val="23"/>
              </w:rPr>
              <w:t>113–114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Problem-solving 4</w:t>
            </w:r>
          </w:p>
        </w:tc>
      </w:tr>
      <w:tr w:rsidR="00711511" w:rsidRPr="0088055F" w:rsidTr="00711511">
        <w:trPr>
          <w:trHeight w:hRule="exact" w:val="29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Number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Operations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124–127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Operations 6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106–107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Operations 5</w:t>
            </w:r>
          </w:p>
        </w:tc>
      </w:tr>
      <w:tr w:rsidR="00711511" w:rsidRPr="0088055F" w:rsidTr="00711511">
        <w:trPr>
          <w:trHeight w:hRule="exact" w:val="29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color w:val="1D1C1B"/>
                <w:w w:val="110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Place value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95"/>
                <w:sz w:val="23"/>
                <w:szCs w:val="23"/>
              </w:rPr>
              <w:t>115–118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6A56D8" w:rsidP="006A56D8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sz w:val="23"/>
                <w:szCs w:val="23"/>
              </w:rPr>
              <w:t>Place</w:t>
            </w:r>
            <w:bookmarkStart w:id="0" w:name="_GoBack"/>
            <w:bookmarkEnd w:id="0"/>
            <w:r>
              <w:rPr>
                <w:color w:val="1D1C1B"/>
                <w:sz w:val="23"/>
                <w:szCs w:val="23"/>
              </w:rPr>
              <w:t xml:space="preserve"> V</w:t>
            </w:r>
            <w:r w:rsidR="00711511" w:rsidRPr="0039539A">
              <w:rPr>
                <w:color w:val="1D1C1B"/>
                <w:sz w:val="23"/>
                <w:szCs w:val="23"/>
              </w:rPr>
              <w:t>alue 3</w:t>
            </w:r>
          </w:p>
        </w:tc>
      </w:tr>
      <w:tr w:rsidR="00711511" w:rsidRPr="0088055F" w:rsidTr="00711511">
        <w:trPr>
          <w:trHeight w:hRule="exact" w:val="29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color w:val="1D1C1B"/>
                <w:w w:val="110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color w:val="1D1C1B"/>
                <w:w w:val="110"/>
                <w:sz w:val="23"/>
                <w:szCs w:val="23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Counting and numeration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color w:val="1D1C1B"/>
                <w:sz w:val="23"/>
                <w:szCs w:val="23"/>
              </w:rPr>
            </w:pP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color w:val="1D1C1B"/>
                <w:w w:val="105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95"/>
                <w:sz w:val="23"/>
                <w:szCs w:val="23"/>
              </w:rPr>
              <w:t>119–121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Counting 3</w:t>
            </w:r>
          </w:p>
        </w:tc>
      </w:tr>
      <w:tr w:rsidR="00711511" w:rsidRPr="0088055F" w:rsidTr="00711511">
        <w:trPr>
          <w:trHeight w:hRule="exact" w:val="29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128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Get Busy 7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29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129–130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6A56D8" w:rsidP="00F94A0E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Problem-s</w:t>
            </w:r>
            <w:r w:rsidR="00711511" w:rsidRPr="0039539A">
              <w:rPr>
                <w:color w:val="1D1C1B"/>
                <w:w w:val="105"/>
                <w:sz w:val="23"/>
                <w:szCs w:val="23"/>
              </w:rPr>
              <w:t>olving 4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711511" w:rsidRPr="00984CF8" w:rsidRDefault="00711511" w:rsidP="003953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June</w:t>
            </w:r>
          </w:p>
        </w:tc>
        <w:tc>
          <w:tcPr>
            <w:tcW w:w="116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  <w:t>Weeks 1–2</w:t>
            </w:r>
          </w:p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Measures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Weight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131–134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Weight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69–72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Weight</w:t>
            </w: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95"/>
                <w:sz w:val="23"/>
                <w:szCs w:val="23"/>
              </w:rPr>
              <w:t>135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Get Busy 8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90"/>
                <w:sz w:val="23"/>
                <w:szCs w:val="23"/>
              </w:rPr>
              <w:t>131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Get Busy 5</w:t>
            </w: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Algebra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0"/>
                <w:sz w:val="23"/>
                <w:szCs w:val="23"/>
              </w:rPr>
              <w:t>Extending and using pattern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136–137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Pattern 3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2" w:lineRule="exact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62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Shape and space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2-D shapes; 3-D shapes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138–141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Shape and Space 3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color w:val="1D1C1B"/>
                <w:sz w:val="23"/>
                <w:szCs w:val="23"/>
              </w:rPr>
            </w:pPr>
            <w:r w:rsidRPr="0039539A">
              <w:rPr>
                <w:color w:val="1D1C1B"/>
                <w:sz w:val="23"/>
                <w:szCs w:val="23"/>
              </w:rPr>
              <w:t>99–101</w:t>
            </w:r>
          </w:p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color w:val="1D1C1B"/>
                <w:w w:val="105"/>
                <w:sz w:val="23"/>
                <w:szCs w:val="23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3-D objects</w:t>
            </w:r>
          </w:p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Angles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102–103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Angles</w:t>
            </w:r>
          </w:p>
        </w:tc>
      </w:tr>
      <w:tr w:rsidR="00711511" w:rsidRPr="0088055F" w:rsidTr="00711511">
        <w:trPr>
          <w:trHeight w:hRule="exact" w:val="303"/>
        </w:trPr>
        <w:tc>
          <w:tcPr>
            <w:tcW w:w="38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88055F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Week 3</w:t>
            </w:r>
            <w:r w:rsidR="006A56D8"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–</w:t>
            </w:r>
            <w:r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  <w:t>4</w:t>
            </w:r>
          </w:p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142–143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6A56D8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color w:val="1D1C1B"/>
                <w:w w:val="105"/>
                <w:sz w:val="23"/>
                <w:szCs w:val="23"/>
              </w:rPr>
              <w:t>Problem-s</w:t>
            </w:r>
            <w:r w:rsidR="00711511" w:rsidRPr="0039539A">
              <w:rPr>
                <w:color w:val="1D1C1B"/>
                <w:w w:val="105"/>
                <w:sz w:val="23"/>
                <w:szCs w:val="23"/>
              </w:rPr>
              <w:t>olving 5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ind w:right="65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127–128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Problem-solving 5</w:t>
            </w:r>
          </w:p>
        </w:tc>
      </w:tr>
      <w:tr w:rsidR="00711511" w:rsidRPr="0088055F" w:rsidTr="00711511">
        <w:trPr>
          <w:trHeight w:hRule="exact" w:val="722"/>
        </w:trPr>
        <w:tc>
          <w:tcPr>
            <w:tcW w:w="389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1167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88055F" w:rsidRDefault="0071151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6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3210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15"/>
                <w:sz w:val="23"/>
                <w:szCs w:val="23"/>
              </w:rPr>
              <w:t>N/A</w:t>
            </w:r>
          </w:p>
        </w:tc>
        <w:tc>
          <w:tcPr>
            <w:tcW w:w="1070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sz w:val="23"/>
                <w:szCs w:val="23"/>
              </w:rPr>
              <w:t>144–145</w:t>
            </w:r>
          </w:p>
        </w:tc>
        <w:tc>
          <w:tcPr>
            <w:tcW w:w="2724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Revision 4</w:t>
            </w:r>
          </w:p>
        </w:tc>
        <w:tc>
          <w:tcPr>
            <w:tcW w:w="973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 w:rsidP="0039539A">
            <w:pPr>
              <w:pStyle w:val="TableParagraph"/>
              <w:kinsoku w:val="0"/>
              <w:overflowPunct w:val="0"/>
              <w:ind w:right="65"/>
              <w:rPr>
                <w:color w:val="1D1C1B"/>
                <w:sz w:val="23"/>
                <w:szCs w:val="23"/>
              </w:rPr>
            </w:pPr>
            <w:r w:rsidRPr="0039539A">
              <w:rPr>
                <w:color w:val="1D1C1B"/>
                <w:sz w:val="23"/>
                <w:szCs w:val="23"/>
              </w:rPr>
              <w:t>104</w:t>
            </w:r>
            <w:r w:rsidR="006A56D8">
              <w:rPr>
                <w:color w:val="1D1C1B"/>
                <w:sz w:val="23"/>
                <w:szCs w:val="23"/>
              </w:rPr>
              <w:t>–</w:t>
            </w:r>
            <w:r w:rsidRPr="0039539A">
              <w:rPr>
                <w:color w:val="1D1C1B"/>
                <w:sz w:val="23"/>
                <w:szCs w:val="23"/>
              </w:rPr>
              <w:t>105, 122–123</w:t>
            </w:r>
          </w:p>
          <w:p w:rsidR="00711511" w:rsidRPr="0039539A" w:rsidRDefault="00711511" w:rsidP="0039539A">
            <w:pPr>
              <w:pStyle w:val="TableParagraph"/>
              <w:kinsoku w:val="0"/>
              <w:overflowPunct w:val="0"/>
              <w:ind w:right="65"/>
              <w:rPr>
                <w:color w:val="1D1C1B"/>
                <w:sz w:val="23"/>
                <w:szCs w:val="23"/>
              </w:rPr>
            </w:pPr>
            <w:r w:rsidRPr="0039539A">
              <w:rPr>
                <w:color w:val="1D1C1B"/>
                <w:sz w:val="23"/>
                <w:szCs w:val="23"/>
              </w:rPr>
              <w:t>132</w:t>
            </w:r>
            <w:r w:rsidR="006A56D8">
              <w:rPr>
                <w:color w:val="1D1C1B"/>
                <w:sz w:val="23"/>
                <w:szCs w:val="23"/>
              </w:rPr>
              <w:t>–</w:t>
            </w:r>
            <w:r w:rsidRPr="0039539A">
              <w:rPr>
                <w:color w:val="1D1C1B"/>
                <w:sz w:val="23"/>
                <w:szCs w:val="23"/>
              </w:rPr>
              <w:t>133</w:t>
            </w:r>
          </w:p>
        </w:tc>
        <w:tc>
          <w:tcPr>
            <w:tcW w:w="2821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711511" w:rsidRPr="0039539A" w:rsidRDefault="00711511" w:rsidP="00F94A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39539A">
              <w:rPr>
                <w:color w:val="1D1C1B"/>
                <w:w w:val="105"/>
                <w:sz w:val="23"/>
                <w:szCs w:val="23"/>
              </w:rPr>
              <w:t>Revision 4, 5, 6</w:t>
            </w:r>
          </w:p>
        </w:tc>
      </w:tr>
    </w:tbl>
    <w:p w:rsidR="00A4020D" w:rsidRDefault="00A4020D"/>
    <w:sectPr w:rsidR="00A4020D" w:rsidSect="00711511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4E0B"/>
    <w:multiLevelType w:val="hybridMultilevel"/>
    <w:tmpl w:val="8E0A8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F"/>
    <w:rsid w:val="00156CEB"/>
    <w:rsid w:val="001E4EA5"/>
    <w:rsid w:val="00254A23"/>
    <w:rsid w:val="002A3ED2"/>
    <w:rsid w:val="0039539A"/>
    <w:rsid w:val="003D48F1"/>
    <w:rsid w:val="0049091E"/>
    <w:rsid w:val="004B77A1"/>
    <w:rsid w:val="005E22E4"/>
    <w:rsid w:val="006515D4"/>
    <w:rsid w:val="006A56D8"/>
    <w:rsid w:val="006A64B7"/>
    <w:rsid w:val="006A7808"/>
    <w:rsid w:val="00711511"/>
    <w:rsid w:val="0088055F"/>
    <w:rsid w:val="00984CF8"/>
    <w:rsid w:val="009C64EB"/>
    <w:rsid w:val="00A4020D"/>
    <w:rsid w:val="00D0681A"/>
    <w:rsid w:val="00D45626"/>
    <w:rsid w:val="00E672B9"/>
    <w:rsid w:val="00F1065F"/>
    <w:rsid w:val="00F94A0E"/>
    <w:rsid w:val="00FA0125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C5FAA-F066-4A1C-B0D5-90A0944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7A1"/>
    <w:pPr>
      <w:widowControl w:val="0"/>
      <w:autoSpaceDE w:val="0"/>
      <w:autoSpaceDN w:val="0"/>
      <w:adjustRightInd w:val="0"/>
      <w:spacing w:line="233" w:lineRule="exact"/>
      <w:ind w:left="70"/>
    </w:pPr>
    <w:rPr>
      <w:rFonts w:ascii="Arial Narrow" w:eastAsiaTheme="minorEastAsia" w:hAnsi="Arial Narrow" w:cs="Arial Narrow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9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BC2-D116-4C26-94C6-D5A79E4C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Corroon</dc:creator>
  <cp:lastModifiedBy>Ryan, Emer</cp:lastModifiedBy>
  <cp:revision>6</cp:revision>
  <dcterms:created xsi:type="dcterms:W3CDTF">2018-08-13T08:35:00Z</dcterms:created>
  <dcterms:modified xsi:type="dcterms:W3CDTF">2018-08-13T11:55:00Z</dcterms:modified>
</cp:coreProperties>
</file>